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7E4" w:rsidRPr="005D3D7F" w:rsidRDefault="004767E4" w:rsidP="004767E4">
      <w:pPr>
        <w:pStyle w:val="a6"/>
        <w:widowControl/>
        <w:spacing w:line="540" w:lineRule="atLeast"/>
        <w:rPr>
          <w:rStyle w:val="a5"/>
          <w:rFonts w:ascii="Times New Roman" w:eastAsia="微软雅黑" w:hAnsi="Times New Roman"/>
          <w:color w:val="000000"/>
          <w:sz w:val="24"/>
          <w:szCs w:val="24"/>
          <w:shd w:val="clear" w:color="auto" w:fill="FFFFFF"/>
        </w:rPr>
      </w:pPr>
      <w:r w:rsidRPr="005D3D7F">
        <w:rPr>
          <w:rStyle w:val="a5"/>
          <w:rFonts w:ascii="Times New Roman" w:eastAsia="微软雅黑" w:hAnsi="Times New Roman"/>
          <w:color w:val="000000"/>
          <w:sz w:val="24"/>
          <w:szCs w:val="24"/>
          <w:shd w:val="clear" w:color="auto" w:fill="FFFFFF"/>
        </w:rPr>
        <w:t>附件</w:t>
      </w:r>
      <w:r w:rsidRPr="005D3D7F">
        <w:rPr>
          <w:rStyle w:val="a5"/>
          <w:rFonts w:ascii="Times New Roman" w:eastAsia="微软雅黑" w:hAnsi="Times New Roman"/>
          <w:color w:val="000000"/>
          <w:sz w:val="24"/>
          <w:szCs w:val="24"/>
          <w:shd w:val="clear" w:color="auto" w:fill="FFFFFF"/>
        </w:rPr>
        <w:t>1</w:t>
      </w:r>
    </w:p>
    <w:p w:rsidR="004767E4" w:rsidRPr="005D3D7F" w:rsidRDefault="004767E4" w:rsidP="004767E4">
      <w:pPr>
        <w:pStyle w:val="a6"/>
        <w:widowControl/>
        <w:spacing w:line="540" w:lineRule="atLeast"/>
        <w:jc w:val="center"/>
        <w:rPr>
          <w:rFonts w:ascii="Times New Roman" w:eastAsia="仿宋_GB2312" w:hAnsi="Times New Roman"/>
          <w:kern w:val="2"/>
          <w:sz w:val="32"/>
          <w:szCs w:val="32"/>
        </w:rPr>
      </w:pPr>
      <w:r w:rsidRPr="005D3D7F">
        <w:rPr>
          <w:rFonts w:ascii="Times New Roman" w:eastAsia="仿宋_GB2312" w:hAnsi="Times New Roman"/>
          <w:b/>
          <w:kern w:val="2"/>
          <w:sz w:val="32"/>
          <w:szCs w:val="32"/>
        </w:rPr>
        <w:t>重</w:t>
      </w:r>
      <w:r w:rsidRPr="005D3D7F">
        <w:rPr>
          <w:rFonts w:ascii="Times New Roman" w:eastAsia="仿宋_GB2312" w:hAnsi="Times New Roman"/>
          <w:b/>
          <w:kern w:val="2"/>
          <w:sz w:val="32"/>
          <w:szCs w:val="32"/>
        </w:rPr>
        <w:t xml:space="preserve"> </w:t>
      </w:r>
      <w:r w:rsidRPr="005D3D7F">
        <w:rPr>
          <w:rFonts w:ascii="Times New Roman" w:eastAsia="仿宋_GB2312" w:hAnsi="Times New Roman"/>
          <w:b/>
          <w:kern w:val="2"/>
          <w:sz w:val="32"/>
          <w:szCs w:val="32"/>
        </w:rPr>
        <w:t>点</w:t>
      </w:r>
      <w:r w:rsidRPr="005D3D7F">
        <w:rPr>
          <w:rFonts w:ascii="Times New Roman" w:eastAsia="仿宋_GB2312" w:hAnsi="Times New Roman"/>
          <w:b/>
          <w:kern w:val="2"/>
          <w:sz w:val="32"/>
          <w:szCs w:val="32"/>
        </w:rPr>
        <w:t xml:space="preserve"> </w:t>
      </w:r>
      <w:r w:rsidRPr="005D3D7F">
        <w:rPr>
          <w:rFonts w:ascii="Times New Roman" w:eastAsia="仿宋_GB2312" w:hAnsi="Times New Roman"/>
          <w:b/>
          <w:kern w:val="2"/>
          <w:sz w:val="32"/>
          <w:szCs w:val="32"/>
        </w:rPr>
        <w:t>项</w:t>
      </w:r>
      <w:r w:rsidRPr="005D3D7F">
        <w:rPr>
          <w:rFonts w:ascii="Times New Roman" w:eastAsia="仿宋_GB2312" w:hAnsi="Times New Roman"/>
          <w:b/>
          <w:kern w:val="2"/>
          <w:sz w:val="32"/>
          <w:szCs w:val="32"/>
        </w:rPr>
        <w:t xml:space="preserve"> </w:t>
      </w:r>
      <w:r w:rsidRPr="005D3D7F">
        <w:rPr>
          <w:rFonts w:ascii="Times New Roman" w:eastAsia="仿宋_GB2312" w:hAnsi="Times New Roman"/>
          <w:b/>
          <w:kern w:val="2"/>
          <w:sz w:val="32"/>
          <w:szCs w:val="32"/>
        </w:rPr>
        <w:t>目</w:t>
      </w:r>
      <w:r w:rsidRPr="005D3D7F">
        <w:rPr>
          <w:rFonts w:ascii="Times New Roman" w:eastAsia="仿宋_GB2312" w:hAnsi="Times New Roman"/>
          <w:b/>
          <w:kern w:val="2"/>
          <w:sz w:val="32"/>
          <w:szCs w:val="32"/>
        </w:rPr>
        <w:t xml:space="preserve"> </w:t>
      </w:r>
      <w:r w:rsidRPr="005D3D7F">
        <w:rPr>
          <w:rFonts w:ascii="Times New Roman" w:eastAsia="仿宋_GB2312" w:hAnsi="Times New Roman"/>
          <w:b/>
          <w:kern w:val="2"/>
          <w:sz w:val="32"/>
          <w:szCs w:val="32"/>
        </w:rPr>
        <w:t>清</w:t>
      </w:r>
      <w:r w:rsidRPr="005D3D7F">
        <w:rPr>
          <w:rFonts w:ascii="Times New Roman" w:eastAsia="仿宋_GB2312" w:hAnsi="Times New Roman"/>
          <w:b/>
          <w:kern w:val="2"/>
          <w:sz w:val="32"/>
          <w:szCs w:val="32"/>
        </w:rPr>
        <w:t xml:space="preserve"> </w:t>
      </w:r>
      <w:r w:rsidRPr="005D3D7F">
        <w:rPr>
          <w:rFonts w:ascii="Times New Roman" w:eastAsia="仿宋_GB2312" w:hAnsi="Times New Roman"/>
          <w:b/>
          <w:kern w:val="2"/>
          <w:sz w:val="32"/>
          <w:szCs w:val="32"/>
        </w:rPr>
        <w:t>单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21"/>
        <w:gridCol w:w="1654"/>
        <w:gridCol w:w="6844"/>
      </w:tblGrid>
      <w:tr w:rsidR="004767E4" w:rsidRPr="005D3D7F" w:rsidTr="0031577A">
        <w:trPr>
          <w:trHeight w:val="482"/>
          <w:tblHeader/>
          <w:jc w:val="center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jc w:val="center"/>
              <w:rPr>
                <w:rFonts w:ascii="Times New Roman" w:hAnsi="Times New Roman"/>
              </w:rPr>
            </w:pPr>
            <w:r w:rsidRPr="005D3D7F">
              <w:rPr>
                <w:rFonts w:ascii="Times New Roman" w:eastAsia="黑体" w:hAnsi="Times New Roman"/>
                <w:color w:val="000000"/>
                <w:spacing w:val="-2"/>
              </w:rPr>
              <w:t>序号</w:t>
            </w: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jc w:val="center"/>
              <w:rPr>
                <w:rFonts w:ascii="Times New Roman" w:hAnsi="Times New Roman"/>
              </w:rPr>
            </w:pPr>
            <w:r w:rsidRPr="005D3D7F">
              <w:rPr>
                <w:rFonts w:ascii="Times New Roman" w:eastAsia="黑体" w:hAnsi="Times New Roman"/>
                <w:color w:val="000000"/>
                <w:spacing w:val="-2"/>
              </w:rPr>
              <w:t>项目类别</w:t>
            </w:r>
          </w:p>
        </w:tc>
        <w:tc>
          <w:tcPr>
            <w:tcW w:w="6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jc w:val="center"/>
              <w:rPr>
                <w:rFonts w:ascii="Times New Roman" w:hAnsi="Times New Roman"/>
              </w:rPr>
            </w:pPr>
            <w:r w:rsidRPr="005D3D7F">
              <w:rPr>
                <w:rFonts w:ascii="Times New Roman" w:eastAsia="黑体" w:hAnsi="Times New Roman"/>
                <w:color w:val="000000"/>
                <w:spacing w:val="-2"/>
              </w:rPr>
              <w:t>重</w:t>
            </w:r>
            <w:r>
              <w:rPr>
                <w:rFonts w:ascii="Times New Roman" w:eastAsia="黑体" w:hAnsi="Times New Roman"/>
                <w:color w:val="000000"/>
                <w:spacing w:val="-2"/>
              </w:rPr>
              <w:t xml:space="preserve"> </w:t>
            </w:r>
            <w:r w:rsidRPr="005D3D7F">
              <w:rPr>
                <w:rFonts w:ascii="Times New Roman" w:eastAsia="黑体" w:hAnsi="Times New Roman"/>
                <w:color w:val="000000"/>
                <w:spacing w:val="-2"/>
              </w:rPr>
              <w:t>点</w:t>
            </w:r>
            <w:r>
              <w:rPr>
                <w:rFonts w:ascii="Times New Roman" w:eastAsia="黑体" w:hAnsi="Times New Roman" w:hint="eastAsia"/>
                <w:color w:val="000000"/>
                <w:spacing w:val="-2"/>
              </w:rPr>
              <w:t xml:space="preserve"> </w:t>
            </w:r>
            <w:r w:rsidRPr="005D3D7F">
              <w:rPr>
                <w:rFonts w:ascii="Times New Roman" w:eastAsia="黑体" w:hAnsi="Times New Roman"/>
                <w:color w:val="000000"/>
                <w:spacing w:val="-2"/>
              </w:rPr>
              <w:t>项</w:t>
            </w:r>
            <w:r>
              <w:rPr>
                <w:rFonts w:ascii="Times New Roman" w:eastAsia="黑体" w:hAnsi="Times New Roman"/>
                <w:color w:val="000000"/>
                <w:spacing w:val="-2"/>
              </w:rPr>
              <w:t xml:space="preserve"> </w:t>
            </w:r>
            <w:r w:rsidRPr="005D3D7F">
              <w:rPr>
                <w:rFonts w:ascii="Times New Roman" w:eastAsia="黑体" w:hAnsi="Times New Roman"/>
                <w:color w:val="000000"/>
                <w:spacing w:val="-2"/>
              </w:rPr>
              <w:t>目</w:t>
            </w:r>
          </w:p>
        </w:tc>
      </w:tr>
      <w:tr w:rsidR="004767E4" w:rsidRPr="005D3D7F" w:rsidTr="0031577A">
        <w:trPr>
          <w:trHeight w:val="482"/>
          <w:jc w:val="center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jc w:val="center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1</w:t>
            </w: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纺织业</w:t>
            </w:r>
          </w:p>
        </w:tc>
        <w:tc>
          <w:tcPr>
            <w:tcW w:w="6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有洗毛、染整、脱胶工段的纺织品制造项目。</w:t>
            </w:r>
          </w:p>
        </w:tc>
      </w:tr>
      <w:tr w:rsidR="004767E4" w:rsidRPr="005D3D7F" w:rsidTr="0031577A">
        <w:trPr>
          <w:trHeight w:val="482"/>
          <w:jc w:val="center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jc w:val="center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2</w:t>
            </w: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造纸和纸制品业</w:t>
            </w:r>
          </w:p>
        </w:tc>
        <w:tc>
          <w:tcPr>
            <w:tcW w:w="6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纸浆、溶解浆、纤维浆等制造项目；造纸项目。</w:t>
            </w:r>
          </w:p>
        </w:tc>
      </w:tr>
      <w:tr w:rsidR="004767E4" w:rsidRPr="005D3D7F" w:rsidTr="0031577A">
        <w:trPr>
          <w:trHeight w:val="482"/>
          <w:jc w:val="center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jc w:val="center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3</w:t>
            </w: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石油加工、炼焦业</w:t>
            </w:r>
          </w:p>
        </w:tc>
        <w:tc>
          <w:tcPr>
            <w:tcW w:w="6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spacing w:line="288" w:lineRule="auto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炼油项目；乙烯项目；</w:t>
            </w:r>
            <w:proofErr w:type="gramStart"/>
            <w:r w:rsidRPr="005D3D7F">
              <w:rPr>
                <w:rFonts w:ascii="Times New Roman" w:hAnsi="Times New Roman"/>
                <w:color w:val="000000"/>
                <w:spacing w:val="-2"/>
              </w:rPr>
              <w:t>低阶煤分质</w:t>
            </w:r>
            <w:proofErr w:type="gramEnd"/>
            <w:r w:rsidRPr="005D3D7F">
              <w:rPr>
                <w:rFonts w:ascii="Times New Roman" w:hAnsi="Times New Roman"/>
                <w:color w:val="000000"/>
                <w:spacing w:val="-2"/>
              </w:rPr>
              <w:t>利用项目；煤制天然气、油、化学品项目；焦化项目。</w:t>
            </w:r>
          </w:p>
        </w:tc>
      </w:tr>
      <w:tr w:rsidR="004767E4" w:rsidRPr="005D3D7F" w:rsidTr="0031577A">
        <w:trPr>
          <w:trHeight w:val="482"/>
          <w:jc w:val="center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jc w:val="center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4</w:t>
            </w: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化学原料和化学制品制造业</w:t>
            </w:r>
          </w:p>
        </w:tc>
        <w:tc>
          <w:tcPr>
            <w:tcW w:w="6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spacing w:line="288" w:lineRule="auto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铬盐生产项目；氰化物生产项目；精对苯二甲酸（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PTA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）、对二甲苯（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PX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）项目；二苯基甲烷二异氰酸酯（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MDI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）、甲苯二异氰酸酯（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TDI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）项目；电石法聚氯乙烯项目；农药原药生产项目。</w:t>
            </w:r>
          </w:p>
        </w:tc>
      </w:tr>
      <w:tr w:rsidR="004767E4" w:rsidRPr="005D3D7F" w:rsidTr="0031577A">
        <w:trPr>
          <w:trHeight w:val="482"/>
          <w:jc w:val="center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jc w:val="center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5</w:t>
            </w: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医药制造业</w:t>
            </w:r>
          </w:p>
        </w:tc>
        <w:tc>
          <w:tcPr>
            <w:tcW w:w="6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原料药生产项目。</w:t>
            </w:r>
          </w:p>
        </w:tc>
      </w:tr>
      <w:tr w:rsidR="004767E4" w:rsidRPr="005D3D7F" w:rsidTr="0031577A">
        <w:trPr>
          <w:trHeight w:val="482"/>
          <w:jc w:val="center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jc w:val="center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6</w:t>
            </w: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黑色金属冶炼和压延加工业</w:t>
            </w:r>
          </w:p>
        </w:tc>
        <w:tc>
          <w:tcPr>
            <w:tcW w:w="6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炼铁、球团、烧结项目；炼钢项目。</w:t>
            </w:r>
          </w:p>
        </w:tc>
      </w:tr>
      <w:tr w:rsidR="004767E4" w:rsidRPr="005D3D7F" w:rsidTr="0031577A">
        <w:trPr>
          <w:trHeight w:val="482"/>
          <w:jc w:val="center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jc w:val="center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7</w:t>
            </w: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有色金属冶炼和压延加工业</w:t>
            </w:r>
          </w:p>
        </w:tc>
        <w:tc>
          <w:tcPr>
            <w:tcW w:w="6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有色金属冶炼项目（含再生有色金属冶炼）。</w:t>
            </w:r>
          </w:p>
        </w:tc>
      </w:tr>
      <w:tr w:rsidR="004767E4" w:rsidRPr="005D3D7F" w:rsidTr="0031577A">
        <w:trPr>
          <w:trHeight w:val="482"/>
          <w:jc w:val="center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jc w:val="center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8</w:t>
            </w: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电气机械和器材制造业</w:t>
            </w:r>
          </w:p>
        </w:tc>
        <w:tc>
          <w:tcPr>
            <w:tcW w:w="6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铅蓄电池制造项目。</w:t>
            </w:r>
          </w:p>
        </w:tc>
      </w:tr>
      <w:tr w:rsidR="004767E4" w:rsidRPr="005D3D7F" w:rsidTr="0031577A">
        <w:trPr>
          <w:trHeight w:val="482"/>
          <w:jc w:val="center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jc w:val="center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9</w:t>
            </w: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电力、热力生产和供应业</w:t>
            </w:r>
          </w:p>
        </w:tc>
        <w:tc>
          <w:tcPr>
            <w:tcW w:w="6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spacing w:line="288" w:lineRule="auto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火力发电项目（不含燃气发电工程</w:t>
            </w:r>
            <w:proofErr w:type="gramStart"/>
            <w:r w:rsidRPr="005D3D7F">
              <w:rPr>
                <w:rFonts w:ascii="Times New Roman" w:hAnsi="Times New Roman"/>
                <w:color w:val="000000"/>
                <w:spacing w:val="-2"/>
              </w:rPr>
              <w:t>和背压机组</w:t>
            </w:r>
            <w:proofErr w:type="gramEnd"/>
            <w:r w:rsidRPr="005D3D7F">
              <w:rPr>
                <w:rFonts w:ascii="Times New Roman" w:hAnsi="Times New Roman"/>
                <w:color w:val="000000"/>
                <w:spacing w:val="-2"/>
              </w:rPr>
              <w:t>项目）；生活垃圾发电项目；总装机容量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25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万千瓦及以上的水电站项目。</w:t>
            </w:r>
          </w:p>
        </w:tc>
      </w:tr>
      <w:tr w:rsidR="004767E4" w:rsidRPr="005D3D7F" w:rsidTr="0031577A">
        <w:trPr>
          <w:trHeight w:val="482"/>
          <w:jc w:val="center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jc w:val="center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10</w:t>
            </w: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6"/>
              </w:rPr>
              <w:t>水的生产和供应业</w:t>
            </w:r>
          </w:p>
        </w:tc>
        <w:tc>
          <w:tcPr>
            <w:tcW w:w="6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新建、扩建工业废水集中处理项目。</w:t>
            </w:r>
          </w:p>
        </w:tc>
      </w:tr>
      <w:tr w:rsidR="004767E4" w:rsidRPr="005D3D7F" w:rsidTr="0031577A">
        <w:trPr>
          <w:trHeight w:val="482"/>
          <w:jc w:val="center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jc w:val="center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11</w:t>
            </w: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环境</w:t>
            </w:r>
            <w:proofErr w:type="gramStart"/>
            <w:r w:rsidRPr="005D3D7F">
              <w:rPr>
                <w:rFonts w:ascii="Times New Roman" w:hAnsi="Times New Roman"/>
                <w:color w:val="000000"/>
                <w:spacing w:val="-2"/>
              </w:rPr>
              <w:t>治理业</w:t>
            </w:r>
            <w:proofErr w:type="gramEnd"/>
          </w:p>
        </w:tc>
        <w:tc>
          <w:tcPr>
            <w:tcW w:w="6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spacing w:line="288" w:lineRule="auto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年处置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1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万吨及以上危险废物处置项目；年利用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10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万吨及以上危险废物综合利用项目。</w:t>
            </w:r>
          </w:p>
        </w:tc>
      </w:tr>
      <w:tr w:rsidR="004767E4" w:rsidRPr="005D3D7F" w:rsidTr="0031577A">
        <w:trPr>
          <w:trHeight w:val="482"/>
          <w:jc w:val="center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jc w:val="center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12</w:t>
            </w: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公共设施管理业</w:t>
            </w:r>
          </w:p>
        </w:tc>
        <w:tc>
          <w:tcPr>
            <w:tcW w:w="6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生活垃圾填埋项目；生活垃圾焚烧项目（不含发电）。</w:t>
            </w:r>
          </w:p>
        </w:tc>
      </w:tr>
      <w:tr w:rsidR="004767E4" w:rsidRPr="005D3D7F" w:rsidTr="0031577A">
        <w:trPr>
          <w:trHeight w:val="482"/>
          <w:jc w:val="center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jc w:val="center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13</w:t>
            </w: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6"/>
              </w:rPr>
              <w:t>煤炭开采和</w:t>
            </w:r>
            <w:proofErr w:type="gramStart"/>
            <w:r w:rsidRPr="005D3D7F">
              <w:rPr>
                <w:rFonts w:ascii="Times New Roman" w:hAnsi="Times New Roman"/>
                <w:color w:val="000000"/>
                <w:spacing w:val="-6"/>
              </w:rPr>
              <w:t>洗选业</w:t>
            </w:r>
            <w:proofErr w:type="gramEnd"/>
          </w:p>
        </w:tc>
        <w:tc>
          <w:tcPr>
            <w:tcW w:w="6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年产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150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万吨及以上煤炭开采项目。</w:t>
            </w:r>
          </w:p>
        </w:tc>
      </w:tr>
      <w:tr w:rsidR="004767E4" w:rsidRPr="005D3D7F" w:rsidTr="0031577A">
        <w:trPr>
          <w:trHeight w:val="482"/>
          <w:jc w:val="center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jc w:val="center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14</w:t>
            </w: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石油和天然气开采业</w:t>
            </w:r>
          </w:p>
        </w:tc>
        <w:tc>
          <w:tcPr>
            <w:tcW w:w="6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spacing w:line="288" w:lineRule="auto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年产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20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亿立方米及以上天然气新区块开发项目；年产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100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万吨及以上石油开采新区块开发项目；新建海洋油气开发项目。</w:t>
            </w:r>
          </w:p>
        </w:tc>
      </w:tr>
      <w:tr w:rsidR="004767E4" w:rsidRPr="005D3D7F" w:rsidTr="0031577A">
        <w:trPr>
          <w:trHeight w:val="482"/>
          <w:jc w:val="center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jc w:val="center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15</w:t>
            </w: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6"/>
              </w:rPr>
              <w:t>黑色金属矿采选业</w:t>
            </w:r>
          </w:p>
        </w:tc>
        <w:tc>
          <w:tcPr>
            <w:tcW w:w="6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年产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500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万吨及以上的铁矿采选项目。</w:t>
            </w:r>
          </w:p>
        </w:tc>
      </w:tr>
      <w:tr w:rsidR="004767E4" w:rsidRPr="005D3D7F" w:rsidTr="0031577A">
        <w:trPr>
          <w:trHeight w:val="482"/>
          <w:jc w:val="center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jc w:val="center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16</w:t>
            </w: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6"/>
              </w:rPr>
              <w:t>有色金属矿采选业</w:t>
            </w:r>
          </w:p>
        </w:tc>
        <w:tc>
          <w:tcPr>
            <w:tcW w:w="6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有色金属矿采选项目。</w:t>
            </w:r>
          </w:p>
        </w:tc>
      </w:tr>
      <w:tr w:rsidR="004767E4" w:rsidRPr="005D3D7F" w:rsidTr="0031577A">
        <w:trPr>
          <w:trHeight w:val="482"/>
          <w:jc w:val="center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jc w:val="center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17</w:t>
            </w: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水利</w:t>
            </w:r>
          </w:p>
        </w:tc>
        <w:tc>
          <w:tcPr>
            <w:tcW w:w="6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spacing w:line="288" w:lineRule="auto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在跨界、跨省（区、市）河流上建设的库容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1000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万立方米及以上水库项目；涉及跨界河流、跨省（区、市）的水资源配置调整项目。</w:t>
            </w:r>
          </w:p>
        </w:tc>
      </w:tr>
      <w:tr w:rsidR="004767E4" w:rsidRPr="005D3D7F" w:rsidTr="0031577A">
        <w:trPr>
          <w:trHeight w:val="482"/>
          <w:jc w:val="center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jc w:val="center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18</w:t>
            </w: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海洋工程</w:t>
            </w:r>
          </w:p>
        </w:tc>
        <w:tc>
          <w:tcPr>
            <w:tcW w:w="6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spacing w:line="288" w:lineRule="auto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50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公顷及以上的填海项目；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100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公顷及以上的围海项目；跨海桥梁工程项目；长度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1.0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公里及以上的海底隧道项目。</w:t>
            </w:r>
          </w:p>
        </w:tc>
      </w:tr>
      <w:tr w:rsidR="004767E4" w:rsidRPr="005D3D7F" w:rsidTr="0031577A">
        <w:trPr>
          <w:trHeight w:val="3137"/>
          <w:jc w:val="center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jc w:val="center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lastRenderedPageBreak/>
              <w:t>19</w:t>
            </w: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交通运输业、管道运输业和仓储业</w:t>
            </w:r>
          </w:p>
        </w:tc>
        <w:tc>
          <w:tcPr>
            <w:tcW w:w="6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spacing w:line="288" w:lineRule="auto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跨省（区、市）的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30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公里以上高速公路项目；新建、增建跨省（区、市）的铁路（不含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30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公里及以下铁路联络线和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30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公里及以下铁路专用线）项目；新建运输机场项目；扩建军民合用机场项目；年吞吐能力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1000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万吨及以上煤炭、矿石、油气专用泊位项目；涉及危险品、化学品的集装箱专用码头项目；高等级航道的千吨级及</w:t>
            </w:r>
            <w:proofErr w:type="gramStart"/>
            <w:r w:rsidRPr="005D3D7F">
              <w:rPr>
                <w:rFonts w:ascii="Times New Roman" w:hAnsi="Times New Roman"/>
                <w:color w:val="000000"/>
                <w:spacing w:val="-2"/>
              </w:rPr>
              <w:t>以上航电枢纽</w:t>
            </w:r>
            <w:proofErr w:type="gramEnd"/>
            <w:r w:rsidRPr="005D3D7F">
              <w:rPr>
                <w:rFonts w:ascii="Times New Roman" w:hAnsi="Times New Roman"/>
                <w:color w:val="000000"/>
                <w:spacing w:val="-2"/>
              </w:rPr>
              <w:t>项目；城市轨道交通项目；跨境、跨省（区、市）的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200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公里及以上输油、输气干线管网（不含油气田集输管网）项目；化学品输送管线；地下油库（不含加油站的油库）项目；地下气库（含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LNG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库，不含加气站的气库）项目。</w:t>
            </w:r>
          </w:p>
        </w:tc>
      </w:tr>
      <w:tr w:rsidR="004767E4" w:rsidRPr="005D3D7F" w:rsidTr="0031577A">
        <w:trPr>
          <w:trHeight w:val="2955"/>
          <w:jc w:val="center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jc w:val="center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20</w:t>
            </w:r>
          </w:p>
        </w:tc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核与辐射</w:t>
            </w:r>
          </w:p>
        </w:tc>
        <w:tc>
          <w:tcPr>
            <w:tcW w:w="6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767E4" w:rsidRPr="005D3D7F" w:rsidRDefault="004767E4" w:rsidP="0031577A">
            <w:pPr>
              <w:pStyle w:val="a6"/>
              <w:widowControl/>
              <w:spacing w:line="288" w:lineRule="auto"/>
              <w:rPr>
                <w:rFonts w:ascii="Times New Roman" w:hAnsi="Times New Roman"/>
              </w:rPr>
            </w:pPr>
            <w:r w:rsidRPr="005D3D7F">
              <w:rPr>
                <w:rFonts w:ascii="Times New Roman" w:hAnsi="Times New Roman"/>
                <w:color w:val="000000"/>
                <w:spacing w:val="-2"/>
              </w:rPr>
              <w:t>750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千伏及以上交流和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±500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千伏及以上直流输变电项目；新建、扩建核动力厂（核电厂、核热电厂、</w:t>
            </w:r>
            <w:proofErr w:type="gramStart"/>
            <w:r w:rsidRPr="005D3D7F">
              <w:rPr>
                <w:rFonts w:ascii="Times New Roman" w:hAnsi="Times New Roman"/>
                <w:color w:val="000000"/>
                <w:spacing w:val="-2"/>
              </w:rPr>
              <w:t>核供汽</w:t>
            </w:r>
            <w:proofErr w:type="gramEnd"/>
            <w:r w:rsidRPr="005D3D7F">
              <w:rPr>
                <w:rFonts w:ascii="Times New Roman" w:hAnsi="Times New Roman"/>
                <w:color w:val="000000"/>
                <w:spacing w:val="-2"/>
              </w:rPr>
              <w:t>供热厂等）、反应堆（研究堆、实验堆、临界装置等）、核燃料生产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/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加工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/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贮存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/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后处理、放射性废物贮存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/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处理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/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处置（独立的放射性废物贮存设施除外）项目；新建、扩建铀矿开采、冶炼项目以及项目退役；生产放射性同位素（制备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PET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用放射性药物的除外）、使用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Ⅰ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类放射源（医疗使用的除外）的核技术利用项目；销售（含建造）、使用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Ⅰ</w:t>
            </w:r>
            <w:r w:rsidRPr="005D3D7F">
              <w:rPr>
                <w:rFonts w:ascii="Times New Roman" w:hAnsi="Times New Roman"/>
                <w:color w:val="000000"/>
                <w:spacing w:val="-2"/>
              </w:rPr>
              <w:t>类射线装置的核技术利用项目；甲级非密封放射性物质工作场所的核技术利用项目。</w:t>
            </w:r>
          </w:p>
        </w:tc>
      </w:tr>
    </w:tbl>
    <w:p w:rsidR="004767E4" w:rsidRPr="004767E4" w:rsidRDefault="004767E4" w:rsidP="004767E4">
      <w:pPr>
        <w:pStyle w:val="a6"/>
        <w:widowControl/>
        <w:spacing w:line="540" w:lineRule="atLeast"/>
        <w:rPr>
          <w:rFonts w:ascii="Times New Roman" w:hAnsi="Times New Roman" w:hint="eastAsia"/>
          <w:sz w:val="24"/>
          <w:szCs w:val="24"/>
        </w:rPr>
        <w:sectPr w:rsidR="004767E4" w:rsidRPr="004767E4" w:rsidSect="00FE0671">
          <w:footerReference w:type="default" r:id="rId6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  <w:r w:rsidRPr="005D3D7F">
        <w:rPr>
          <w:rFonts w:ascii="Times New Roman" w:eastAsia="微软雅黑" w:hAnsi="Times New Roman"/>
          <w:color w:val="000000"/>
          <w:sz w:val="24"/>
          <w:szCs w:val="24"/>
          <w:shd w:val="clear" w:color="auto" w:fill="FFFFFF"/>
        </w:rPr>
        <w:t xml:space="preserve">　　注：上述项目涉及规模的，均指新增规模；未涉及规模的，包括新建、扩建和技术改造项目，但已列明新建、扩建等的除外</w:t>
      </w:r>
    </w:p>
    <w:p w:rsidR="001B2E89" w:rsidRPr="004767E4" w:rsidRDefault="001B2E89">
      <w:pPr>
        <w:rPr>
          <w:rFonts w:hint="eastAsia"/>
        </w:rPr>
      </w:pPr>
      <w:bookmarkStart w:id="0" w:name="_GoBack"/>
      <w:bookmarkEnd w:id="0"/>
    </w:p>
    <w:sectPr w:rsidR="001B2E89" w:rsidRPr="004767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3F2E" w:rsidRDefault="00973F2E" w:rsidP="004767E4">
      <w:r>
        <w:separator/>
      </w:r>
    </w:p>
  </w:endnote>
  <w:endnote w:type="continuationSeparator" w:id="0">
    <w:p w:rsidR="00973F2E" w:rsidRDefault="00973F2E" w:rsidP="00476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715276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4767E4" w:rsidRPr="00CB6D62" w:rsidRDefault="004767E4">
        <w:pPr>
          <w:pStyle w:val="a4"/>
          <w:jc w:val="center"/>
          <w:rPr>
            <w:rFonts w:ascii="Times New Roman" w:hAnsi="Times New Roman" w:cs="Times New Roman"/>
          </w:rPr>
        </w:pPr>
        <w:r w:rsidRPr="00CB6D62">
          <w:rPr>
            <w:rFonts w:ascii="Times New Roman" w:hAnsi="Times New Roman" w:cs="Times New Roman"/>
          </w:rPr>
          <w:fldChar w:fldCharType="begin"/>
        </w:r>
        <w:r w:rsidRPr="00CB6D62">
          <w:rPr>
            <w:rFonts w:ascii="Times New Roman" w:hAnsi="Times New Roman" w:cs="Times New Roman"/>
          </w:rPr>
          <w:instrText>PAGE   \* MERGEFORMAT</w:instrText>
        </w:r>
        <w:r w:rsidRPr="00CB6D62">
          <w:rPr>
            <w:rFonts w:ascii="Times New Roman" w:hAnsi="Times New Roman" w:cs="Times New Roman"/>
          </w:rPr>
          <w:fldChar w:fldCharType="separate"/>
        </w:r>
        <w:r w:rsidRPr="004767E4">
          <w:rPr>
            <w:rFonts w:ascii="Times New Roman" w:hAnsi="Times New Roman" w:cs="Times New Roman"/>
            <w:noProof/>
            <w:lang w:val="zh-CN"/>
          </w:rPr>
          <w:t>2</w:t>
        </w:r>
        <w:r w:rsidRPr="00CB6D62">
          <w:rPr>
            <w:rFonts w:ascii="Times New Roman" w:hAnsi="Times New Roman" w:cs="Times New Roman"/>
          </w:rPr>
          <w:fldChar w:fldCharType="end"/>
        </w:r>
      </w:p>
    </w:sdtContent>
  </w:sdt>
  <w:p w:rsidR="004767E4" w:rsidRDefault="004767E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3F2E" w:rsidRDefault="00973F2E" w:rsidP="004767E4">
      <w:r>
        <w:separator/>
      </w:r>
    </w:p>
  </w:footnote>
  <w:footnote w:type="continuationSeparator" w:id="0">
    <w:p w:rsidR="00973F2E" w:rsidRDefault="00973F2E" w:rsidP="004767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A0C"/>
    <w:rsid w:val="001B2E89"/>
    <w:rsid w:val="004767E4"/>
    <w:rsid w:val="00973F2E"/>
    <w:rsid w:val="009A3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5921E1F-A1E3-475B-8993-F4C9263B9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67E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767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767E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767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767E4"/>
    <w:rPr>
      <w:sz w:val="18"/>
      <w:szCs w:val="18"/>
    </w:rPr>
  </w:style>
  <w:style w:type="character" w:styleId="a5">
    <w:name w:val="Strong"/>
    <w:qFormat/>
    <w:rsid w:val="004767E4"/>
    <w:rPr>
      <w:b/>
    </w:rPr>
  </w:style>
  <w:style w:type="paragraph" w:styleId="a6">
    <w:name w:val="Normal (Web)"/>
    <w:basedOn w:val="a"/>
    <w:rsid w:val="004767E4"/>
    <w:pPr>
      <w:jc w:val="left"/>
    </w:pPr>
    <w:rPr>
      <w:rFonts w:ascii="Calibri" w:eastAsia="宋体" w:hAnsi="Calibri" w:cs="Times New Roman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cp:keywords/>
  <dc:description/>
  <cp:lastModifiedBy>John</cp:lastModifiedBy>
  <cp:revision>2</cp:revision>
  <dcterms:created xsi:type="dcterms:W3CDTF">2021-06-10T07:54:00Z</dcterms:created>
  <dcterms:modified xsi:type="dcterms:W3CDTF">2021-06-10T07:55:00Z</dcterms:modified>
</cp:coreProperties>
</file>